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技术需求发布表单</w:t>
      </w:r>
      <w:bookmarkEnd w:id="1"/>
    </w:p>
    <w:tbl>
      <w:tblPr>
        <w:tblStyle w:val="9"/>
        <w:tblW w:w="9129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1324"/>
        <w:gridCol w:w="519"/>
        <w:gridCol w:w="1134"/>
        <w:gridCol w:w="425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bookmarkStart w:id="0" w:name="_Hlk108007336"/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公开发布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color w:val="AFABAB" w:themeColor="background2" w:themeShade="B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□勾选后，需求会被更多科研工作者看到，解决概率更大；不勾选仅平台工作人员可见，保护企业隐私。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需求标题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行业领域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  <w:t>参考平台行业领域标签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需求背景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7" w:hRule="atLeast"/>
        </w:trPr>
        <w:tc>
          <w:tcPr>
            <w:tcW w:w="9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近年来，我国食用植物油消费量持续增长，需求缺口不断扩大，对外依存度明显上升，供需矛盾日益突出。一直以来，油脂加工企业为了提高得油率，对大豆、油菜籽、花生等大宗油料作物制油采用的加工方式是预榨→浸出→精炼的传统工艺。由于能耗高、污染大、化学溶剂残留等不利因素，既不符合国家发改委颁布的《产业结构调整指导目录（2019年本）》政策，更不能满足广大消费者对绿色、健康、环保的食用油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目前国内外在线应用的榨油机，普遍存在产量较小（日处理量≤45t/d）、干饼残油率高＞10%），且在油料加工过程中需依附破碎、轧坯、蒸炒等设备及工艺，不仅功能单一、稳定性差，工艺路线长、能耗高、且普遍存在高值加工问题。据科技查新，国内外大处理量榨油机均以预榨机为主，不适用于常温压榨，尚未有适用于油料常温整颗粒入榨、一次压榨制油加工能力达100t/d以上的大型榨油机。因此，研制适用于油料整颗粒常温入榨、不需依附破碎、轧坯、蒸炒等设备及工艺，一次压榨制油加工能力达100t/d以上的大型常温榨油机对我国油脂加工业的发展具有重要意义，也符合粮油适度加工、减损增效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需解决的主要技术难题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本产品一机多用，能够适应油料低温、适温、高温等不同制油工艺，需解决：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1.将榨油机变速箱和传动箱合为一体后，两根螺旋主轴受拉力影响较大，如何保证双螺旋榨油机的同心度和强度，确保榨油机运行稳定。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2.在取消破碎、扎胚、蒸炒等设备及工艺段后，如何合理设计双螺旋压榨轴，榨螺、衬圈尺寸及配置，增强破碎剪切能力以及合适的压缩比，实现油料整颗粒压榨，使油料爬坡角度小，油料受阻力小，产量增大，且实现多级压榨，提高出油率，降低饼中残油，大幅降低能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3.榨油机运行时榨膛内各工艺段温度不同，如何精准检测及智能控制各料段温度以及榨膛压力，以及电流过载保护等智能化控制。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期望实现的主要技术目标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a.榨油机生产能力：100～150t/d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b.干饼残油率（一次压榨）：6.5～7.5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c.油料入榨温度（℃）：常温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d.节能降耗指标：＞40%,e.油料入榨水分在线检测及智能控制：＜9%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f.榨油机运行时榨膛内各工艺段在线温度检测及智能控制：进料段＜90℃；压榨段＜110℃；沥干挂＜110℃；出饼段＜130℃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g.榨油机运行时榨膛压力在线检测及智能控制：＜50Mpa。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公司介绍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XX有限公司是一家专业生产油脂机械设备，集科研、制造、销售于一体的国家高新技术企业。现有员工XX人，占地面积XX万余平方米。拥有各种生产、检测设备XX余台/套，具备年生产XX油脂加工生产线成套设备和XX台单机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C9C9C9" w:themeColor="accent3" w:themeTint="99"/>
                <w:kern w:val="0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主要产品为日处理XX吨适应高温、适温、低温等不同制油工艺和不同油料作物的单、双螺旋榨油机以及油脂加工生产线成套装备。产品涵盖从油料的预处理、榨油到浸出、精炼的全部工艺过程，是国内生产油脂加工机械及成套工程装备较为齐全的厂家之一，可满足不同用户的需求。产品畅销全国30个省市，远销东南亚、中亚、非洲等十几个国家和地区，深受广大用户的信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预算金额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万元 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□双方协商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需求公示截止日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联系邮箱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微信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所在地区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详细地址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  <w:t>意向承接此需求科技服务团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陕西智能制造区域科技服务团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为此需求贡献服务的相关助力方（可选择多个助力方）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  <w:t>试点城市（园区）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  <w:t>科技服务团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企业技术问题征集活动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技术经理人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西咸新区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陕西智能制造区域科技服务团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color w:val="C00000"/>
          <w:sz w:val="28"/>
          <w:szCs w:val="28"/>
        </w:rPr>
        <w:t>*</w:t>
      </w:r>
      <w:r>
        <w:rPr>
          <w:rFonts w:hint="eastAsia" w:ascii="仿宋_GB2312" w:eastAsia="仿宋_GB2312"/>
          <w:sz w:val="28"/>
          <w:szCs w:val="28"/>
        </w:rPr>
        <w:t>为必填项</w:t>
      </w:r>
    </w:p>
    <w:p>
      <w:pPr>
        <w:pStyle w:val="4"/>
        <w:rPr>
          <w:rFonts w:hint="eastAsia"/>
        </w:rPr>
      </w:pPr>
    </w:p>
    <w:sectPr>
      <w:footerReference r:id="rId3" w:type="default"/>
      <w:pgSz w:w="11906" w:h="16838"/>
      <w:pgMar w:top="1984" w:right="1361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2NGZlOWVjZTdhNGEyZWEzNWQ5Y2M3NzBmZmQ0ZTIifQ=="/>
  </w:docVars>
  <w:rsids>
    <w:rsidRoot w:val="5E9A3AA7"/>
    <w:rsid w:val="001D4EFC"/>
    <w:rsid w:val="001E71CD"/>
    <w:rsid w:val="0020188E"/>
    <w:rsid w:val="01964270"/>
    <w:rsid w:val="02D2752A"/>
    <w:rsid w:val="02F90BF0"/>
    <w:rsid w:val="05755BC8"/>
    <w:rsid w:val="0C120997"/>
    <w:rsid w:val="0F051A1F"/>
    <w:rsid w:val="11DA3D05"/>
    <w:rsid w:val="263E27B5"/>
    <w:rsid w:val="26926505"/>
    <w:rsid w:val="2BB36EFC"/>
    <w:rsid w:val="392A7B67"/>
    <w:rsid w:val="39C62C3D"/>
    <w:rsid w:val="41A01FC6"/>
    <w:rsid w:val="4B5E12AC"/>
    <w:rsid w:val="4E89034F"/>
    <w:rsid w:val="5915074C"/>
    <w:rsid w:val="59233991"/>
    <w:rsid w:val="59EF7BE2"/>
    <w:rsid w:val="5C9664F6"/>
    <w:rsid w:val="5E9A3AA7"/>
    <w:rsid w:val="5EAE6BE5"/>
    <w:rsid w:val="6115578D"/>
    <w:rsid w:val="61C8335B"/>
    <w:rsid w:val="65E31D93"/>
    <w:rsid w:val="668A5D74"/>
    <w:rsid w:val="760342F6"/>
    <w:rsid w:val="7F62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/>
    </w:pPr>
  </w:style>
  <w:style w:type="paragraph" w:customStyle="1" w:styleId="14">
    <w:name w:val="List Paragraph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15">
    <w:name w:val="正文缩进1"/>
    <w:basedOn w:val="1"/>
    <w:qFormat/>
    <w:uiPriority w:val="0"/>
    <w:pPr>
      <w:ind w:firstLine="200" w:firstLineChars="200"/>
    </w:pPr>
    <w:rPr>
      <w:rFonts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822</Words>
  <Characters>843</Characters>
  <Lines>11</Lines>
  <Paragraphs>3</Paragraphs>
  <TotalTime>17</TotalTime>
  <ScaleCrop>false</ScaleCrop>
  <LinksUpToDate>false</LinksUpToDate>
  <CharactersWithSpaces>1161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2023-05-22T08:14:00Z</dcterms:created>
  <dc:creator>林原</dc:creator>
  <cp:lastModifiedBy>小小小小小小雨</cp:lastModifiedBy>
  <cp:lastPrinted>2023-05-25T02:33:00Z</cp:lastPrinted>
  <dcterms:modified xsi:type="dcterms:W3CDTF">2023-05-25T07:58:31Z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69E0FA9AF0B94BA28BDA7864AB1A1CB0_13</vt:lpwstr>
  </property>
</Properties>
</file>